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90F" w:rsidRDefault="00E0230D">
      <w:pPr>
        <w:spacing w:line="360" w:lineRule="auto"/>
        <w:jc w:val="center"/>
        <w:rPr>
          <w:rFonts w:ascii="宋体" w:hAnsi="宋体" w:cstheme="minorBidi"/>
          <w:b/>
          <w:sz w:val="36"/>
          <w:szCs w:val="22"/>
        </w:rPr>
      </w:pPr>
      <w:r>
        <w:rPr>
          <w:rFonts w:ascii="宋体" w:hAnsi="宋体" w:cstheme="minorBidi" w:hint="eastAsia"/>
          <w:b/>
          <w:sz w:val="36"/>
          <w:szCs w:val="22"/>
        </w:rPr>
        <w:t>深圳市血之缘</w:t>
      </w:r>
      <w:r>
        <w:rPr>
          <w:rFonts w:ascii="宋体" w:hAnsi="宋体" w:cstheme="minorBidi"/>
          <w:b/>
          <w:sz w:val="36"/>
          <w:szCs w:val="22"/>
        </w:rPr>
        <w:t>公益基金会</w:t>
      </w:r>
      <w:r>
        <w:rPr>
          <w:rFonts w:ascii="宋体" w:hAnsi="宋体" w:cstheme="minorBidi" w:hint="eastAsia"/>
          <w:b/>
          <w:sz w:val="36"/>
          <w:szCs w:val="22"/>
        </w:rPr>
        <w:t>捐赠物资管理办法</w:t>
      </w:r>
    </w:p>
    <w:p w:rsidR="0061590F" w:rsidRDefault="0061590F">
      <w:pPr>
        <w:spacing w:line="360" w:lineRule="auto"/>
        <w:jc w:val="center"/>
      </w:pPr>
    </w:p>
    <w:p w:rsidR="0061590F" w:rsidRDefault="00E0230D">
      <w:pPr>
        <w:spacing w:line="360" w:lineRule="auto"/>
        <w:jc w:val="center"/>
        <w:rPr>
          <w:rFonts w:asciiTheme="minorHAnsi" w:eastAsiaTheme="minorEastAsia" w:hAnsiTheme="minorHAnsi" w:cstheme="minorBidi"/>
          <w:b/>
          <w:sz w:val="28"/>
          <w:szCs w:val="22"/>
        </w:rPr>
      </w:pPr>
      <w:r>
        <w:rPr>
          <w:rFonts w:asciiTheme="minorHAnsi" w:eastAsiaTheme="minorEastAsia" w:hAnsiTheme="minorHAnsi" w:cstheme="minorBidi"/>
          <w:b/>
          <w:sz w:val="28"/>
          <w:szCs w:val="22"/>
        </w:rPr>
        <w:t>第一章</w:t>
      </w:r>
      <w:r>
        <w:rPr>
          <w:rFonts w:asciiTheme="minorHAnsi" w:eastAsiaTheme="minorEastAsia" w:hAnsiTheme="minorHAnsi" w:cstheme="minorBidi"/>
          <w:b/>
          <w:sz w:val="28"/>
          <w:szCs w:val="22"/>
        </w:rPr>
        <w:t xml:space="preserve"> </w:t>
      </w:r>
      <w:r>
        <w:rPr>
          <w:rFonts w:asciiTheme="minorHAnsi" w:eastAsiaTheme="minorEastAsia" w:hAnsiTheme="minorHAnsi" w:cstheme="minorBidi"/>
          <w:b/>
          <w:sz w:val="28"/>
          <w:szCs w:val="22"/>
        </w:rPr>
        <w:t>总则</w:t>
      </w:r>
    </w:p>
    <w:p w:rsidR="0061590F" w:rsidRDefault="00E0230D">
      <w:pPr>
        <w:pStyle w:val="a5"/>
        <w:spacing w:before="0" w:beforeAutospacing="0" w:after="0" w:afterAutospacing="0" w:line="360" w:lineRule="auto"/>
      </w:pPr>
      <w:r>
        <w:rPr>
          <w:b/>
        </w:rPr>
        <w:t>第一条</w:t>
      </w:r>
      <w:r>
        <w:t xml:space="preserve"> </w:t>
      </w:r>
      <w:r>
        <w:t>为规范深圳市血之缘公益基金会</w:t>
      </w:r>
      <w:r>
        <w:t>(</w:t>
      </w:r>
      <w:r>
        <w:t>以下简称基金会</w:t>
      </w:r>
      <w:r>
        <w:t>)</w:t>
      </w:r>
      <w:r>
        <w:t>物资捐赠活动，确保捐赠人和受助人的合法权益，</w:t>
      </w:r>
      <w:r>
        <w:rPr>
          <w:rFonts w:hint="eastAsia"/>
        </w:rPr>
        <w:t>根据《深圳市血之缘</w:t>
      </w:r>
      <w:r>
        <w:t>公益</w:t>
      </w:r>
      <w:r>
        <w:rPr>
          <w:rFonts w:hint="eastAsia"/>
        </w:rPr>
        <w:t>基金会章程》和国家有关法律规定，结合本基金会实际，制定本办法。</w:t>
      </w:r>
    </w:p>
    <w:p w:rsidR="0061590F" w:rsidRDefault="00E0230D">
      <w:pPr>
        <w:pStyle w:val="a5"/>
        <w:spacing w:before="0" w:beforeAutospacing="0" w:after="0" w:afterAutospacing="0" w:line="360" w:lineRule="auto"/>
      </w:pPr>
      <w:r>
        <w:rPr>
          <w:b/>
        </w:rPr>
        <w:t>第二条</w:t>
      </w:r>
      <w:r>
        <w:t xml:space="preserve"> </w:t>
      </w:r>
      <w:r>
        <w:t>捐赠物资指基金会募集的非货币性捐赠资产，包括</w:t>
      </w:r>
      <w:r>
        <w:rPr>
          <w:rFonts w:hint="eastAsia"/>
        </w:rPr>
        <w:t>生活用品</w:t>
      </w:r>
      <w:r>
        <w:t>、</w:t>
      </w:r>
      <w:r>
        <w:rPr>
          <w:rFonts w:hint="eastAsia"/>
        </w:rPr>
        <w:t>购物卡、</w:t>
      </w:r>
      <w:proofErr w:type="gramStart"/>
      <w:r>
        <w:t>券</w:t>
      </w:r>
      <w:proofErr w:type="gramEnd"/>
      <w:r>
        <w:t>、</w:t>
      </w:r>
      <w:r>
        <w:rPr>
          <w:rFonts w:hint="eastAsia"/>
        </w:rPr>
        <w:t>虚拟资产</w:t>
      </w:r>
      <w:r>
        <w:t>等物资。</w:t>
      </w:r>
    </w:p>
    <w:p w:rsidR="0061590F" w:rsidRDefault="00E0230D">
      <w:pPr>
        <w:pStyle w:val="a5"/>
        <w:spacing w:before="0" w:beforeAutospacing="0" w:after="0" w:afterAutospacing="0" w:line="360" w:lineRule="auto"/>
      </w:pPr>
      <w:r>
        <w:rPr>
          <w:b/>
        </w:rPr>
        <w:t>第三条</w:t>
      </w:r>
      <w:r>
        <w:t xml:space="preserve"> </w:t>
      </w:r>
      <w:r>
        <w:t>捐赠物资的使用范围：</w:t>
      </w:r>
    </w:p>
    <w:p w:rsidR="0061590F" w:rsidRDefault="00E0230D">
      <w:pPr>
        <w:pStyle w:val="a8"/>
        <w:numPr>
          <w:ilvl w:val="0"/>
          <w:numId w:val="1"/>
        </w:numPr>
        <w:spacing w:line="360" w:lineRule="auto"/>
        <w:ind w:left="704" w:firstLineChars="0"/>
        <w:rPr>
          <w:rFonts w:ascii="宋体" w:eastAsia="宋体" w:hAnsi="宋体"/>
          <w:sz w:val="24"/>
          <w:szCs w:val="24"/>
        </w:rPr>
      </w:pPr>
      <w:r>
        <w:rPr>
          <w:rFonts w:ascii="宋体" w:eastAsia="宋体" w:hAnsi="宋体" w:hint="eastAsia"/>
          <w:sz w:val="24"/>
          <w:szCs w:val="24"/>
        </w:rPr>
        <w:t>为困难献血者提供扶贫济困、就医助学、就业培训等资助；</w:t>
      </w:r>
    </w:p>
    <w:p w:rsidR="0061590F" w:rsidRDefault="00E0230D">
      <w:pPr>
        <w:pStyle w:val="a8"/>
        <w:numPr>
          <w:ilvl w:val="0"/>
          <w:numId w:val="1"/>
        </w:numPr>
        <w:spacing w:line="360" w:lineRule="auto"/>
        <w:ind w:left="704" w:firstLineChars="0"/>
        <w:rPr>
          <w:rFonts w:ascii="宋体" w:eastAsia="宋体" w:hAnsi="宋体"/>
          <w:sz w:val="24"/>
          <w:szCs w:val="24"/>
        </w:rPr>
      </w:pPr>
      <w:r>
        <w:rPr>
          <w:rFonts w:ascii="宋体" w:eastAsia="宋体" w:hAnsi="宋体"/>
          <w:sz w:val="24"/>
          <w:szCs w:val="24"/>
        </w:rPr>
        <w:t>资助</w:t>
      </w:r>
      <w:r>
        <w:rPr>
          <w:rFonts w:ascii="宋体" w:eastAsia="宋体" w:hAnsi="宋体" w:hint="eastAsia"/>
          <w:sz w:val="24"/>
          <w:szCs w:val="24"/>
        </w:rPr>
        <w:t>落后</w:t>
      </w:r>
      <w:r>
        <w:rPr>
          <w:rFonts w:ascii="宋体" w:eastAsia="宋体" w:hAnsi="宋体"/>
          <w:sz w:val="24"/>
          <w:szCs w:val="24"/>
        </w:rPr>
        <w:t>地区血站建设有关的项目；</w:t>
      </w:r>
    </w:p>
    <w:p w:rsidR="0061590F" w:rsidRDefault="00E0230D">
      <w:pPr>
        <w:pStyle w:val="a8"/>
        <w:numPr>
          <w:ilvl w:val="0"/>
          <w:numId w:val="1"/>
        </w:numPr>
        <w:spacing w:line="360" w:lineRule="auto"/>
        <w:ind w:left="704" w:firstLineChars="0"/>
        <w:rPr>
          <w:rFonts w:ascii="宋体" w:eastAsia="宋体" w:hAnsi="宋体"/>
          <w:sz w:val="24"/>
          <w:szCs w:val="24"/>
        </w:rPr>
      </w:pPr>
      <w:r>
        <w:rPr>
          <w:rFonts w:ascii="宋体" w:eastAsia="宋体" w:hAnsi="宋体" w:hint="eastAsia"/>
          <w:sz w:val="24"/>
          <w:szCs w:val="24"/>
        </w:rPr>
        <w:t>资助其他有助于献血事业发展的活动。</w:t>
      </w:r>
    </w:p>
    <w:p w:rsidR="0061590F" w:rsidRDefault="00E0230D">
      <w:pPr>
        <w:spacing w:line="360" w:lineRule="auto"/>
        <w:jc w:val="center"/>
        <w:rPr>
          <w:rFonts w:asciiTheme="minorHAnsi" w:eastAsiaTheme="minorEastAsia" w:hAnsiTheme="minorHAnsi" w:cstheme="minorBidi"/>
          <w:b/>
          <w:sz w:val="28"/>
          <w:szCs w:val="22"/>
        </w:rPr>
      </w:pPr>
      <w:r>
        <w:rPr>
          <w:rFonts w:asciiTheme="minorHAnsi" w:eastAsiaTheme="minorEastAsia" w:hAnsiTheme="minorHAnsi" w:cstheme="minorBidi"/>
          <w:b/>
          <w:sz w:val="28"/>
          <w:szCs w:val="22"/>
        </w:rPr>
        <w:t>第二章</w:t>
      </w:r>
      <w:r>
        <w:rPr>
          <w:rFonts w:asciiTheme="minorHAnsi" w:eastAsiaTheme="minorEastAsia" w:hAnsiTheme="minorHAnsi" w:cstheme="minorBidi"/>
          <w:b/>
          <w:sz w:val="28"/>
          <w:szCs w:val="22"/>
        </w:rPr>
        <w:t xml:space="preserve"> </w:t>
      </w:r>
      <w:r>
        <w:rPr>
          <w:rFonts w:asciiTheme="minorHAnsi" w:eastAsiaTheme="minorEastAsia" w:hAnsiTheme="minorHAnsi" w:cstheme="minorBidi"/>
          <w:b/>
          <w:sz w:val="28"/>
          <w:szCs w:val="22"/>
        </w:rPr>
        <w:t>接受捐赠</w:t>
      </w:r>
    </w:p>
    <w:p w:rsidR="0061590F" w:rsidRDefault="00E0230D">
      <w:pPr>
        <w:pStyle w:val="a5"/>
        <w:spacing w:before="0" w:beforeAutospacing="0" w:after="0" w:afterAutospacing="0" w:line="360" w:lineRule="auto"/>
      </w:pPr>
      <w:r>
        <w:rPr>
          <w:b/>
        </w:rPr>
        <w:t>第四条</w:t>
      </w:r>
      <w:r>
        <w:t xml:space="preserve"> </w:t>
      </w:r>
      <w:r>
        <w:t>愿意捐赠的自然人、法人或者其他组织，可以向基金会捐赠其有权处理的合法、有效的物资。基金会在接收捐赠物资时，应与捐助人签订《</w:t>
      </w:r>
      <w:hyperlink r:id="rId8" w:history="1">
        <w:r>
          <w:rPr>
            <w:rStyle w:val="a7"/>
          </w:rPr>
          <w:t>捐赠协议</w:t>
        </w:r>
      </w:hyperlink>
      <w:r>
        <w:t>》，写明捐赠物资的名称、价格、种类、质量、数量、金额、交付时间、用途等。</w:t>
      </w:r>
    </w:p>
    <w:p w:rsidR="0061590F" w:rsidRDefault="00E0230D">
      <w:pPr>
        <w:pStyle w:val="a5"/>
        <w:spacing w:before="0" w:beforeAutospacing="0" w:after="0" w:afterAutospacing="0" w:line="360" w:lineRule="auto"/>
      </w:pPr>
      <w:r>
        <w:rPr>
          <w:b/>
        </w:rPr>
        <w:t>第五条</w:t>
      </w:r>
      <w:r>
        <w:t xml:space="preserve"> </w:t>
      </w:r>
      <w:r>
        <w:t>基金会在接受捐赠物资时当场验收，拒绝接收变质、残损、过期报废的商品物资，物资数量、质量等</w:t>
      </w:r>
      <w:r>
        <w:rPr>
          <w:rFonts w:hint="eastAsia"/>
        </w:rPr>
        <w:t>，由</w:t>
      </w:r>
      <w:r>
        <w:t>经办人、仓库管理人员等二人以上清点核实无误后方能办理入库。捐赠者所捐实物不能马上兑现的，基金会应与捐赠者另签订写明捐赠实物种类、质量、</w:t>
      </w:r>
      <w:r>
        <w:t>数量和兑现时间等内容的捐赠协议。</w:t>
      </w:r>
    </w:p>
    <w:p w:rsidR="0061590F" w:rsidRDefault="00E0230D">
      <w:pPr>
        <w:pStyle w:val="a5"/>
        <w:spacing w:before="0" w:beforeAutospacing="0" w:after="0" w:afterAutospacing="0" w:line="360" w:lineRule="auto"/>
      </w:pPr>
      <w:r>
        <w:rPr>
          <w:b/>
        </w:rPr>
        <w:t>第六条</w:t>
      </w:r>
      <w:r>
        <w:t xml:space="preserve"> </w:t>
      </w:r>
      <w:r>
        <w:t>由于特殊原因，捐赠物资未进入基金会仓库而直接由捐赠方发往受助地，则由受助地两人以上责任人进行清点核查，基金会在得到受助人的接收清单后方可确认价值。</w:t>
      </w:r>
    </w:p>
    <w:p w:rsidR="0061590F" w:rsidRDefault="00E0230D">
      <w:pPr>
        <w:pStyle w:val="a5"/>
        <w:spacing w:before="0" w:beforeAutospacing="0" w:after="0" w:afterAutospacing="0" w:line="360" w:lineRule="auto"/>
      </w:pPr>
      <w:r>
        <w:rPr>
          <w:b/>
        </w:rPr>
        <w:t>第七条</w:t>
      </w:r>
      <w:r>
        <w:t xml:space="preserve"> </w:t>
      </w:r>
      <w:r>
        <w:t>捐助人提供了有关凭据</w:t>
      </w:r>
      <w:r>
        <w:t>(</w:t>
      </w:r>
      <w:r>
        <w:t>如发票、报关单、有关协议等</w:t>
      </w:r>
      <w:r>
        <w:t>)</w:t>
      </w:r>
      <w:r>
        <w:t>的，基金会应当按照凭据上标明的金额作为入账价值；如果未提供有关凭据或者凭据上标明的金额与捐赠物资同类产品市场公允价值相差较大的，捐赠物资应当以其公允价值作为其实际成本。</w:t>
      </w:r>
    </w:p>
    <w:p w:rsidR="0061590F" w:rsidRDefault="00E0230D">
      <w:pPr>
        <w:pStyle w:val="a5"/>
        <w:spacing w:before="0" w:beforeAutospacing="0" w:after="0" w:afterAutospacing="0" w:line="360" w:lineRule="auto"/>
      </w:pPr>
      <w:r>
        <w:rPr>
          <w:b/>
        </w:rPr>
        <w:lastRenderedPageBreak/>
        <w:t>第八条</w:t>
      </w:r>
      <w:r>
        <w:t xml:space="preserve"> </w:t>
      </w:r>
      <w:r>
        <w:t>本办法中所称的公允价值是指在公平交易中，熟悉情况的交易双方，自愿进行物资交换或者债务清偿的金额。公允价值的确定顺序如下：</w:t>
      </w:r>
    </w:p>
    <w:p w:rsidR="0061590F" w:rsidRDefault="00E0230D">
      <w:pPr>
        <w:pStyle w:val="a8"/>
        <w:numPr>
          <w:ilvl w:val="0"/>
          <w:numId w:val="2"/>
        </w:numPr>
        <w:spacing w:line="360" w:lineRule="auto"/>
        <w:ind w:firstLineChars="0"/>
        <w:rPr>
          <w:rFonts w:ascii="宋体" w:eastAsia="宋体" w:hAnsi="宋体"/>
          <w:sz w:val="24"/>
          <w:szCs w:val="24"/>
        </w:rPr>
      </w:pPr>
      <w:r>
        <w:rPr>
          <w:rFonts w:ascii="宋体" w:eastAsia="宋体" w:hAnsi="宋体"/>
          <w:sz w:val="24"/>
          <w:szCs w:val="24"/>
        </w:rPr>
        <w:t>如果同类或者类似物资存在活跃市场的，应当按照同类或者类似物资的市场价格确定公允价值</w:t>
      </w:r>
      <w:r>
        <w:rPr>
          <w:rFonts w:ascii="宋体" w:eastAsia="宋体" w:hAnsi="宋体" w:hint="eastAsia"/>
          <w:sz w:val="24"/>
          <w:szCs w:val="24"/>
        </w:rPr>
        <w:t>。</w:t>
      </w:r>
    </w:p>
    <w:p w:rsidR="0061590F" w:rsidRDefault="00E0230D">
      <w:pPr>
        <w:pStyle w:val="a8"/>
        <w:numPr>
          <w:ilvl w:val="0"/>
          <w:numId w:val="2"/>
        </w:numPr>
        <w:spacing w:line="360" w:lineRule="auto"/>
        <w:ind w:firstLineChars="0"/>
        <w:rPr>
          <w:rFonts w:ascii="宋体" w:eastAsia="宋体" w:hAnsi="宋体"/>
          <w:sz w:val="24"/>
          <w:szCs w:val="24"/>
        </w:rPr>
      </w:pPr>
      <w:r>
        <w:rPr>
          <w:rFonts w:ascii="宋体" w:eastAsia="宋体" w:hAnsi="宋体"/>
          <w:sz w:val="24"/>
          <w:szCs w:val="24"/>
        </w:rPr>
        <w:t>如果同类或者类似物资不存在活跃市场，或者无法找到同类或者类似物资的，应当采用合理的计价方法确定物资的公允价值，如捐赠方可提供捐赠物资评估报告或者物价证明，以此作为捐赠物资价值。</w:t>
      </w:r>
    </w:p>
    <w:p w:rsidR="0061590F" w:rsidRDefault="00E0230D">
      <w:pPr>
        <w:pStyle w:val="a5"/>
        <w:spacing w:before="0" w:beforeAutospacing="0" w:after="0" w:afterAutospacing="0" w:line="360" w:lineRule="auto"/>
      </w:pPr>
      <w:r>
        <w:rPr>
          <w:b/>
        </w:rPr>
        <w:t>第九条</w:t>
      </w:r>
      <w:r>
        <w:t xml:space="preserve"> </w:t>
      </w:r>
      <w:r>
        <w:t>基金会接受捐赠物资后，开具财政部监制的《中央单位公益事业接受捐赠统一收据》作为接收捐赠的凭证。</w:t>
      </w:r>
    </w:p>
    <w:p w:rsidR="0061590F" w:rsidRDefault="00E0230D">
      <w:pPr>
        <w:pStyle w:val="a5"/>
        <w:spacing w:before="0" w:beforeAutospacing="0" w:after="0" w:afterAutospacing="0" w:line="360" w:lineRule="auto"/>
      </w:pPr>
      <w:r>
        <w:rPr>
          <w:rFonts w:hint="eastAsia"/>
          <w:b/>
        </w:rPr>
        <w:t>第十条</w:t>
      </w:r>
      <w:r>
        <w:rPr>
          <w:rFonts w:hint="eastAsia"/>
        </w:rPr>
        <w:t xml:space="preserve"> </w:t>
      </w:r>
      <w:r>
        <w:rPr>
          <w:rFonts w:hint="eastAsia"/>
        </w:rPr>
        <w:t>基金会可以根</w:t>
      </w:r>
      <w:r>
        <w:rPr>
          <w:rFonts w:hint="eastAsia"/>
        </w:rPr>
        <w:t>据捐赠人的意愿举行捐赠仪式，向捐赠人授予捐赠凭证或捐赠荣誉证书，并在有关新闻媒体宣传或报道捐赠情况。</w:t>
      </w:r>
    </w:p>
    <w:p w:rsidR="0061590F" w:rsidRDefault="00E0230D">
      <w:pPr>
        <w:pStyle w:val="a5"/>
        <w:spacing w:before="0" w:beforeAutospacing="0" w:after="0" w:afterAutospacing="0" w:line="360" w:lineRule="auto"/>
      </w:pPr>
      <w:r>
        <w:rPr>
          <w:b/>
        </w:rPr>
        <w:t>第十</w:t>
      </w:r>
      <w:r>
        <w:rPr>
          <w:rFonts w:hint="eastAsia"/>
          <w:b/>
        </w:rPr>
        <w:t>一</w:t>
      </w:r>
      <w:r>
        <w:rPr>
          <w:b/>
        </w:rPr>
        <w:t>条</w:t>
      </w:r>
      <w:r>
        <w:t xml:space="preserve"> </w:t>
      </w:r>
      <w:r>
        <w:t>对符合国家税收法律法规规定的捐赠，捐赠者可凭上述捐赠凭证享受相关税收优惠政策。具体事宜则按国家有关规定办理。</w:t>
      </w:r>
    </w:p>
    <w:p w:rsidR="0061590F" w:rsidRDefault="00E0230D">
      <w:pPr>
        <w:spacing w:line="360" w:lineRule="auto"/>
        <w:jc w:val="center"/>
        <w:rPr>
          <w:rFonts w:asciiTheme="minorHAnsi" w:eastAsiaTheme="minorEastAsia" w:hAnsiTheme="minorHAnsi" w:cstheme="minorBidi"/>
          <w:b/>
          <w:sz w:val="28"/>
          <w:szCs w:val="22"/>
        </w:rPr>
      </w:pPr>
      <w:r>
        <w:rPr>
          <w:rFonts w:asciiTheme="minorHAnsi" w:eastAsiaTheme="minorEastAsia" w:hAnsiTheme="minorHAnsi" w:cstheme="minorBidi"/>
          <w:b/>
          <w:sz w:val="28"/>
          <w:szCs w:val="22"/>
        </w:rPr>
        <w:t>第三章</w:t>
      </w:r>
      <w:r>
        <w:rPr>
          <w:rFonts w:asciiTheme="minorHAnsi" w:eastAsiaTheme="minorEastAsia" w:hAnsiTheme="minorHAnsi" w:cstheme="minorBidi"/>
          <w:b/>
          <w:sz w:val="28"/>
          <w:szCs w:val="22"/>
        </w:rPr>
        <w:t xml:space="preserve"> </w:t>
      </w:r>
      <w:r>
        <w:rPr>
          <w:rFonts w:asciiTheme="minorHAnsi" w:eastAsiaTheme="minorEastAsia" w:hAnsiTheme="minorHAnsi" w:cstheme="minorBidi"/>
          <w:b/>
          <w:sz w:val="28"/>
          <w:szCs w:val="22"/>
        </w:rPr>
        <w:t>捐赠物资的管理和使用</w:t>
      </w:r>
    </w:p>
    <w:p w:rsidR="0061590F" w:rsidRDefault="00E0230D">
      <w:pPr>
        <w:pStyle w:val="a5"/>
        <w:spacing w:before="0" w:beforeAutospacing="0" w:after="0" w:afterAutospacing="0" w:line="360" w:lineRule="auto"/>
      </w:pPr>
      <w:r>
        <w:rPr>
          <w:b/>
        </w:rPr>
        <w:t>第十</w:t>
      </w:r>
      <w:r>
        <w:rPr>
          <w:rFonts w:hint="eastAsia"/>
          <w:b/>
        </w:rPr>
        <w:t>二</w:t>
      </w:r>
      <w:r>
        <w:rPr>
          <w:b/>
        </w:rPr>
        <w:t>条</w:t>
      </w:r>
      <w:r>
        <w:t xml:space="preserve"> </w:t>
      </w:r>
      <w:r>
        <w:t>基金会财务</w:t>
      </w:r>
      <w:r>
        <w:rPr>
          <w:rFonts w:hint="eastAsia"/>
        </w:rPr>
        <w:t>与</w:t>
      </w:r>
      <w:r>
        <w:t>资产管理部对捐赠物资设立专门会计科目进行单独核算及专项管理，并建立严格的分类登记制度。办公室指定专人负责捐赠物资的实物管理，建立库存</w:t>
      </w:r>
      <w:proofErr w:type="gramStart"/>
      <w:r>
        <w:t>物资台</w:t>
      </w:r>
      <w:proofErr w:type="gramEnd"/>
      <w:r>
        <w:t>账。</w:t>
      </w:r>
    </w:p>
    <w:p w:rsidR="0061590F" w:rsidRDefault="00E0230D">
      <w:pPr>
        <w:pStyle w:val="a5"/>
        <w:spacing w:before="0" w:beforeAutospacing="0" w:after="0" w:afterAutospacing="0" w:line="360" w:lineRule="auto"/>
      </w:pPr>
      <w:r>
        <w:rPr>
          <w:b/>
        </w:rPr>
        <w:t>第十</w:t>
      </w:r>
      <w:r>
        <w:rPr>
          <w:rFonts w:hint="eastAsia"/>
          <w:b/>
        </w:rPr>
        <w:t>三</w:t>
      </w:r>
      <w:r>
        <w:rPr>
          <w:b/>
        </w:rPr>
        <w:t>条</w:t>
      </w:r>
      <w:r>
        <w:t xml:space="preserve"> </w:t>
      </w:r>
      <w:r>
        <w:t>对捐赠者有明确合理意愿的捐赠物资，基金会将按照捐赠者意愿使用。</w:t>
      </w:r>
    </w:p>
    <w:p w:rsidR="0061590F" w:rsidRDefault="00E0230D">
      <w:pPr>
        <w:pStyle w:val="a5"/>
        <w:spacing w:before="0" w:beforeAutospacing="0" w:after="0" w:afterAutospacing="0" w:line="360" w:lineRule="auto"/>
      </w:pPr>
      <w:r>
        <w:rPr>
          <w:rFonts w:hint="eastAsia"/>
          <w:b/>
        </w:rPr>
        <w:t>第十四条</w:t>
      </w:r>
      <w:r>
        <w:rPr>
          <w:rFonts w:hint="eastAsia"/>
        </w:rPr>
        <w:t xml:space="preserve"> </w:t>
      </w:r>
      <w:r>
        <w:rPr>
          <w:rFonts w:hint="eastAsia"/>
        </w:rPr>
        <w:t>如果捐赠的</w:t>
      </w:r>
      <w:r>
        <w:rPr>
          <w:rFonts w:hint="eastAsia"/>
        </w:rPr>
        <w:t>物资是食品、药品，捐赠方要提供生产许可证及本批次产品检测报告。基金会按协议约定使用财产，如需改变用途，应征得捐赠人同意并且用于公益事业。</w:t>
      </w:r>
    </w:p>
    <w:p w:rsidR="0061590F" w:rsidRDefault="00E0230D">
      <w:pPr>
        <w:pStyle w:val="a5"/>
        <w:spacing w:before="0" w:beforeAutospacing="0" w:after="0" w:afterAutospacing="0" w:line="360" w:lineRule="auto"/>
      </w:pPr>
      <w:r>
        <w:rPr>
          <w:b/>
        </w:rPr>
        <w:t>第十</w:t>
      </w:r>
      <w:r>
        <w:rPr>
          <w:rFonts w:hint="eastAsia"/>
          <w:b/>
        </w:rPr>
        <w:t>五</w:t>
      </w:r>
      <w:r>
        <w:rPr>
          <w:b/>
        </w:rPr>
        <w:t>条</w:t>
      </w:r>
      <w:r>
        <w:t xml:space="preserve"> </w:t>
      </w:r>
      <w:r>
        <w:t>捐赠物资入库及入账管理：</w:t>
      </w:r>
    </w:p>
    <w:p w:rsidR="0061590F" w:rsidRDefault="00E0230D">
      <w:pPr>
        <w:pStyle w:val="a8"/>
        <w:numPr>
          <w:ilvl w:val="0"/>
          <w:numId w:val="3"/>
        </w:numPr>
        <w:spacing w:line="360" w:lineRule="auto"/>
        <w:ind w:firstLineChars="0"/>
        <w:rPr>
          <w:rFonts w:ascii="宋体" w:eastAsia="宋体" w:hAnsi="宋体"/>
          <w:sz w:val="24"/>
          <w:szCs w:val="24"/>
        </w:rPr>
      </w:pPr>
      <w:r>
        <w:rPr>
          <w:rFonts w:ascii="宋体" w:eastAsia="宋体" w:hAnsi="宋体"/>
          <w:sz w:val="24"/>
          <w:szCs w:val="24"/>
        </w:rPr>
        <w:t>捐赠物资入库时，仓库管理人员需核实捐赠函件、数量、检验质量、填制入库单，经办人员持仓库管理人员开具的入库单及捐赠协议经财务部审核后开具《中央单位公益事业接受捐赠统一收据》；非捐赠物资不得私自入库。</w:t>
      </w:r>
    </w:p>
    <w:p w:rsidR="0061590F" w:rsidRDefault="00E0230D">
      <w:pPr>
        <w:pStyle w:val="a8"/>
        <w:numPr>
          <w:ilvl w:val="0"/>
          <w:numId w:val="3"/>
        </w:numPr>
        <w:spacing w:line="360" w:lineRule="auto"/>
        <w:ind w:firstLineChars="0"/>
        <w:rPr>
          <w:rFonts w:ascii="宋体" w:eastAsia="宋体" w:hAnsi="宋体"/>
          <w:sz w:val="24"/>
          <w:szCs w:val="24"/>
        </w:rPr>
      </w:pPr>
      <w:r>
        <w:rPr>
          <w:rFonts w:ascii="宋体" w:eastAsia="宋体" w:hAnsi="宋体"/>
          <w:sz w:val="24"/>
          <w:szCs w:val="24"/>
        </w:rPr>
        <w:t>财务</w:t>
      </w:r>
      <w:r>
        <w:rPr>
          <w:rFonts w:ascii="宋体" w:eastAsia="宋体" w:hAnsi="宋体" w:hint="eastAsia"/>
          <w:sz w:val="24"/>
          <w:szCs w:val="24"/>
        </w:rPr>
        <w:t>人员</w:t>
      </w:r>
      <w:r>
        <w:rPr>
          <w:rFonts w:ascii="宋体" w:eastAsia="宋体" w:hAnsi="宋体"/>
          <w:sz w:val="24"/>
          <w:szCs w:val="24"/>
        </w:rPr>
        <w:t>与仓库管理人员定期对库存物资进行清查对帐，做到帐实相符。如发现问题要及时查明原因，报秘书长并</w:t>
      </w:r>
      <w:proofErr w:type="gramStart"/>
      <w:r>
        <w:rPr>
          <w:rFonts w:ascii="宋体" w:eastAsia="宋体" w:hAnsi="宋体"/>
          <w:sz w:val="24"/>
          <w:szCs w:val="24"/>
        </w:rPr>
        <w:t>作出</w:t>
      </w:r>
      <w:proofErr w:type="gramEnd"/>
      <w:r>
        <w:rPr>
          <w:rFonts w:ascii="宋体" w:eastAsia="宋体" w:hAnsi="宋体"/>
          <w:sz w:val="24"/>
          <w:szCs w:val="24"/>
        </w:rPr>
        <w:t>相应处理。</w:t>
      </w:r>
    </w:p>
    <w:p w:rsidR="0061590F" w:rsidRDefault="00E0230D">
      <w:pPr>
        <w:pStyle w:val="a5"/>
        <w:spacing w:before="0" w:beforeAutospacing="0" w:after="0" w:afterAutospacing="0" w:line="360" w:lineRule="auto"/>
      </w:pPr>
      <w:r>
        <w:rPr>
          <w:b/>
        </w:rPr>
        <w:lastRenderedPageBreak/>
        <w:t>第十</w:t>
      </w:r>
      <w:r>
        <w:rPr>
          <w:rFonts w:hint="eastAsia"/>
          <w:b/>
        </w:rPr>
        <w:t>六</w:t>
      </w:r>
      <w:r>
        <w:rPr>
          <w:b/>
        </w:rPr>
        <w:t>条</w:t>
      </w:r>
      <w:r>
        <w:t xml:space="preserve"> </w:t>
      </w:r>
      <w:r>
        <w:t>基金会捐赠物资出库及分发管理为：</w:t>
      </w:r>
    </w:p>
    <w:p w:rsidR="0061590F" w:rsidRDefault="00E0230D">
      <w:pPr>
        <w:pStyle w:val="a5"/>
        <w:numPr>
          <w:ilvl w:val="0"/>
          <w:numId w:val="4"/>
        </w:numPr>
        <w:spacing w:before="0" w:beforeAutospacing="0" w:after="0" w:afterAutospacing="0" w:line="360" w:lineRule="auto"/>
        <w:ind w:left="0"/>
      </w:pPr>
      <w:r>
        <w:t>基金会严格履行捐赠协议，按规定执行捐赠物资的出库及分发工作。</w:t>
      </w:r>
    </w:p>
    <w:p w:rsidR="0061590F" w:rsidRDefault="00E0230D">
      <w:pPr>
        <w:pStyle w:val="a5"/>
        <w:numPr>
          <w:ilvl w:val="0"/>
          <w:numId w:val="4"/>
        </w:numPr>
        <w:spacing w:before="0" w:beforeAutospacing="0" w:after="0" w:afterAutospacing="0" w:line="360" w:lineRule="auto"/>
        <w:ind w:left="0"/>
      </w:pPr>
      <w:r>
        <w:t>捐赠物资出库时，经办人</w:t>
      </w:r>
      <w:proofErr w:type="gramStart"/>
      <w:r>
        <w:t>持部门</w:t>
      </w:r>
      <w:proofErr w:type="gramEnd"/>
      <w:r>
        <w:t>负责人及秘书长审批后的出库申请，与仓库管理人员共同办理出库，物资出库及分发程序要严格依据捐赠协议，完全遵照捐赠者意愿向捐赠受益者提出物资使用要求，并将捐赠物资按出库单内容全部交付捐赠受益者。出库完成后，经办人在仓库管理人员处办理出库手续，开具出库单，捐赠受益者清点物资无误后，开具物资接收凭据寄回至基金会。</w:t>
      </w:r>
    </w:p>
    <w:p w:rsidR="0061590F" w:rsidRDefault="00E0230D">
      <w:pPr>
        <w:pStyle w:val="a5"/>
        <w:spacing w:before="0" w:beforeAutospacing="0" w:after="0" w:afterAutospacing="0" w:line="360" w:lineRule="auto"/>
      </w:pPr>
      <w:r>
        <w:rPr>
          <w:b/>
        </w:rPr>
        <w:t>第十</w:t>
      </w:r>
      <w:r>
        <w:rPr>
          <w:rFonts w:hint="eastAsia"/>
          <w:b/>
        </w:rPr>
        <w:t>七</w:t>
      </w:r>
      <w:r>
        <w:rPr>
          <w:b/>
        </w:rPr>
        <w:t>条</w:t>
      </w:r>
      <w:r>
        <w:t xml:space="preserve"> </w:t>
      </w:r>
      <w:r>
        <w:rPr>
          <w:rFonts w:hint="eastAsia"/>
        </w:rPr>
        <w:t>基金会受赠物资的使用应尊重捐赠人的意愿，符合公益目的，不得将捐赠财产</w:t>
      </w:r>
      <w:r>
        <w:rPr>
          <w:rFonts w:hint="eastAsia"/>
        </w:rPr>
        <w:t>挪作他用。按照捐赠人意愿或基金会宗旨确定受助对象。</w:t>
      </w:r>
    </w:p>
    <w:p w:rsidR="0061590F" w:rsidRDefault="00E0230D">
      <w:pPr>
        <w:pStyle w:val="a5"/>
        <w:spacing w:before="0" w:beforeAutospacing="0" w:after="0" w:afterAutospacing="0" w:line="360" w:lineRule="auto"/>
      </w:pPr>
      <w:r>
        <w:rPr>
          <w:b/>
        </w:rPr>
        <w:t>第十</w:t>
      </w:r>
      <w:r>
        <w:rPr>
          <w:rFonts w:hint="eastAsia"/>
          <w:b/>
        </w:rPr>
        <w:t>八</w:t>
      </w:r>
      <w:r>
        <w:rPr>
          <w:b/>
        </w:rPr>
        <w:t>条</w:t>
      </w:r>
      <w:r>
        <w:t xml:space="preserve"> </w:t>
      </w:r>
      <w:r>
        <w:t>在捐赠物资的接收和使用方面，</w:t>
      </w:r>
      <w:r>
        <w:rPr>
          <w:rFonts w:hint="eastAsia"/>
        </w:rPr>
        <w:t>基金会接受捐赠的物资及用途及时上网公示，</w:t>
      </w:r>
      <w:r>
        <w:t>自觉接受审计、监察部门的审计、监察，亦接受</w:t>
      </w:r>
      <w:r>
        <w:rPr>
          <w:rFonts w:hint="eastAsia"/>
        </w:rPr>
        <w:t>捐赠人及社会公众的查询及监督。</w:t>
      </w:r>
    </w:p>
    <w:p w:rsidR="0061590F" w:rsidRDefault="00E0230D">
      <w:pPr>
        <w:spacing w:line="360" w:lineRule="auto"/>
        <w:jc w:val="center"/>
        <w:rPr>
          <w:rFonts w:asciiTheme="minorHAnsi" w:eastAsiaTheme="minorEastAsia" w:hAnsiTheme="minorHAnsi" w:cstheme="minorBidi"/>
          <w:b/>
          <w:sz w:val="28"/>
          <w:szCs w:val="22"/>
        </w:rPr>
      </w:pPr>
      <w:r>
        <w:rPr>
          <w:rFonts w:asciiTheme="minorHAnsi" w:eastAsiaTheme="minorEastAsia" w:hAnsiTheme="minorHAnsi" w:cstheme="minorBidi"/>
          <w:b/>
          <w:sz w:val="28"/>
          <w:szCs w:val="22"/>
        </w:rPr>
        <w:t>第四章</w:t>
      </w:r>
      <w:r>
        <w:rPr>
          <w:rFonts w:asciiTheme="minorHAnsi" w:eastAsiaTheme="minorEastAsia" w:hAnsiTheme="minorHAnsi" w:cstheme="minorBidi"/>
          <w:b/>
          <w:sz w:val="28"/>
          <w:szCs w:val="22"/>
        </w:rPr>
        <w:t xml:space="preserve"> </w:t>
      </w:r>
      <w:r>
        <w:rPr>
          <w:rFonts w:asciiTheme="minorHAnsi" w:eastAsiaTheme="minorEastAsia" w:hAnsiTheme="minorHAnsi" w:cstheme="minorBidi"/>
          <w:b/>
          <w:sz w:val="28"/>
          <w:szCs w:val="22"/>
        </w:rPr>
        <w:t>法律责任</w:t>
      </w:r>
    </w:p>
    <w:p w:rsidR="0061590F" w:rsidRDefault="00E0230D">
      <w:pPr>
        <w:pStyle w:val="a5"/>
        <w:spacing w:before="0" w:beforeAutospacing="0" w:after="0" w:afterAutospacing="0" w:line="360" w:lineRule="auto"/>
      </w:pPr>
      <w:r>
        <w:rPr>
          <w:b/>
        </w:rPr>
        <w:t>第十</w:t>
      </w:r>
      <w:r>
        <w:rPr>
          <w:rFonts w:hint="eastAsia"/>
          <w:b/>
        </w:rPr>
        <w:t>九</w:t>
      </w:r>
      <w:r>
        <w:rPr>
          <w:b/>
        </w:rPr>
        <w:t>条</w:t>
      </w:r>
      <w:r>
        <w:t xml:space="preserve"> </w:t>
      </w:r>
      <w:r>
        <w:t>捐赠者须认真履行捐赠协议，应按照捐赠协议约定的期限和方式将捐赠物资转交基金会。对不能按时履约的，应及时向基金会说明情况，并签订补充履约协议。</w:t>
      </w:r>
    </w:p>
    <w:p w:rsidR="0061590F" w:rsidRDefault="00E0230D">
      <w:pPr>
        <w:pStyle w:val="a5"/>
        <w:spacing w:before="0" w:beforeAutospacing="0" w:after="0" w:afterAutospacing="0" w:line="360" w:lineRule="auto"/>
      </w:pPr>
      <w:r>
        <w:rPr>
          <w:b/>
        </w:rPr>
        <w:t>第</w:t>
      </w:r>
      <w:r>
        <w:rPr>
          <w:rFonts w:hint="eastAsia"/>
          <w:b/>
        </w:rPr>
        <w:t>二十</w:t>
      </w:r>
      <w:r>
        <w:rPr>
          <w:b/>
        </w:rPr>
        <w:t>条</w:t>
      </w:r>
      <w:r>
        <w:t xml:space="preserve"> </w:t>
      </w:r>
      <w:r>
        <w:t>基金会所接受的捐赠，要按照相关法律法规和捐赠物资的使用范围，全部、足额使用，不得以任何理由挪作他用。</w:t>
      </w:r>
    </w:p>
    <w:p w:rsidR="0061590F" w:rsidRDefault="00E0230D">
      <w:pPr>
        <w:spacing w:line="360" w:lineRule="auto"/>
        <w:jc w:val="center"/>
        <w:rPr>
          <w:rFonts w:asciiTheme="minorHAnsi" w:eastAsiaTheme="minorEastAsia" w:hAnsiTheme="minorHAnsi" w:cstheme="minorBidi"/>
          <w:b/>
          <w:sz w:val="28"/>
          <w:szCs w:val="22"/>
        </w:rPr>
      </w:pPr>
      <w:r>
        <w:rPr>
          <w:rFonts w:asciiTheme="minorHAnsi" w:eastAsiaTheme="minorEastAsia" w:hAnsiTheme="minorHAnsi" w:cstheme="minorBidi" w:hint="eastAsia"/>
          <w:b/>
          <w:sz w:val="28"/>
          <w:szCs w:val="22"/>
        </w:rPr>
        <w:t>第五章</w:t>
      </w:r>
      <w:r>
        <w:rPr>
          <w:rFonts w:asciiTheme="minorHAnsi" w:eastAsiaTheme="minorEastAsia" w:hAnsiTheme="minorHAnsi" w:cstheme="minorBidi" w:hint="eastAsia"/>
          <w:b/>
          <w:sz w:val="28"/>
          <w:szCs w:val="22"/>
        </w:rPr>
        <w:t xml:space="preserve">  </w:t>
      </w:r>
      <w:r>
        <w:rPr>
          <w:rFonts w:asciiTheme="minorHAnsi" w:eastAsiaTheme="minorEastAsia" w:hAnsiTheme="minorHAnsi" w:cstheme="minorBidi" w:hint="eastAsia"/>
          <w:b/>
          <w:sz w:val="28"/>
          <w:szCs w:val="22"/>
        </w:rPr>
        <w:t>监督检查</w:t>
      </w:r>
    </w:p>
    <w:p w:rsidR="0061590F" w:rsidRDefault="00E0230D">
      <w:pPr>
        <w:pStyle w:val="a5"/>
        <w:spacing w:before="0" w:beforeAutospacing="0" w:after="0" w:afterAutospacing="0" w:line="360" w:lineRule="auto"/>
      </w:pPr>
      <w:r>
        <w:rPr>
          <w:rFonts w:hint="eastAsia"/>
          <w:b/>
        </w:rPr>
        <w:t>第二十一条</w:t>
      </w:r>
      <w:r>
        <w:rPr>
          <w:rFonts w:hint="eastAsia"/>
        </w:rPr>
        <w:t xml:space="preserve"> </w:t>
      </w:r>
      <w:r>
        <w:rPr>
          <w:rFonts w:hint="eastAsia"/>
        </w:rPr>
        <w:t>基金会要组织人力及时开展对捐赠物资发放、使用情况的日常自查和自我监督。</w:t>
      </w:r>
    </w:p>
    <w:p w:rsidR="0061590F" w:rsidRDefault="00E0230D">
      <w:pPr>
        <w:pStyle w:val="a5"/>
        <w:spacing w:before="0" w:beforeAutospacing="0" w:after="0" w:afterAutospacing="0" w:line="360" w:lineRule="auto"/>
      </w:pPr>
      <w:r>
        <w:rPr>
          <w:rFonts w:hint="eastAsia"/>
          <w:b/>
        </w:rPr>
        <w:t>第二十二条</w:t>
      </w:r>
      <w:r>
        <w:rPr>
          <w:rFonts w:hint="eastAsia"/>
        </w:rPr>
        <w:t xml:space="preserve"> </w:t>
      </w:r>
      <w:r>
        <w:rPr>
          <w:rFonts w:hint="eastAsia"/>
        </w:rPr>
        <w:t>自查和自我监督的重点内容为</w:t>
      </w:r>
      <w:r>
        <w:rPr>
          <w:rFonts w:hint="eastAsia"/>
        </w:rPr>
        <w:t>:</w:t>
      </w:r>
    </w:p>
    <w:p w:rsidR="0061590F" w:rsidRDefault="00E0230D">
      <w:pPr>
        <w:pStyle w:val="a5"/>
        <w:numPr>
          <w:ilvl w:val="1"/>
          <w:numId w:val="5"/>
        </w:numPr>
        <w:spacing w:before="0" w:beforeAutospacing="0" w:after="0" w:afterAutospacing="0" w:line="360" w:lineRule="auto"/>
        <w:ind w:left="0"/>
      </w:pPr>
      <w:r>
        <w:rPr>
          <w:rFonts w:hint="eastAsia"/>
        </w:rPr>
        <w:t>捐赠物资是否真正落实到应该接受捐助的无偿</w:t>
      </w:r>
      <w:r>
        <w:t>献血者</w:t>
      </w:r>
      <w:r>
        <w:rPr>
          <w:rFonts w:hint="eastAsia"/>
        </w:rPr>
        <w:t>、无偿</w:t>
      </w:r>
      <w:r>
        <w:t>献血服务</w:t>
      </w:r>
      <w:r>
        <w:rPr>
          <w:rFonts w:hint="eastAsia"/>
        </w:rPr>
        <w:t>志愿者、无偿</w:t>
      </w:r>
      <w:r>
        <w:t>献血者家人</w:t>
      </w:r>
      <w:r>
        <w:rPr>
          <w:rFonts w:hint="eastAsia"/>
        </w:rPr>
        <w:t>身上。</w:t>
      </w:r>
    </w:p>
    <w:p w:rsidR="0061590F" w:rsidRDefault="00E0230D">
      <w:pPr>
        <w:pStyle w:val="a5"/>
        <w:numPr>
          <w:ilvl w:val="1"/>
          <w:numId w:val="5"/>
        </w:numPr>
        <w:spacing w:before="0" w:beforeAutospacing="0" w:after="0" w:afterAutospacing="0" w:line="360" w:lineRule="auto"/>
        <w:ind w:left="0"/>
      </w:pPr>
      <w:r>
        <w:rPr>
          <w:rFonts w:hint="eastAsia"/>
        </w:rPr>
        <w:t>对捐赠者指定捐赠物资用途或者捐助地区的，是否按照捐赠者意愿使用。</w:t>
      </w:r>
    </w:p>
    <w:p w:rsidR="0061590F" w:rsidRDefault="00E0230D">
      <w:pPr>
        <w:pStyle w:val="a5"/>
        <w:numPr>
          <w:ilvl w:val="1"/>
          <w:numId w:val="5"/>
        </w:numPr>
        <w:spacing w:before="0" w:beforeAutospacing="0" w:after="0" w:afterAutospacing="0" w:line="360" w:lineRule="auto"/>
        <w:ind w:left="0"/>
      </w:pPr>
      <w:r>
        <w:rPr>
          <w:rFonts w:hint="eastAsia"/>
        </w:rPr>
        <w:t>物资捐赠过程中，是否存在违背本办法规定的行为。</w:t>
      </w:r>
    </w:p>
    <w:p w:rsidR="0061590F" w:rsidRDefault="00E0230D">
      <w:pPr>
        <w:pStyle w:val="a5"/>
        <w:spacing w:before="0" w:beforeAutospacing="0" w:after="0" w:afterAutospacing="0" w:line="360" w:lineRule="auto"/>
      </w:pPr>
      <w:r>
        <w:rPr>
          <w:rFonts w:hint="eastAsia"/>
          <w:b/>
        </w:rPr>
        <w:t>第二十三条</w:t>
      </w:r>
      <w:r>
        <w:rPr>
          <w:rFonts w:hint="eastAsia"/>
        </w:rPr>
        <w:t xml:space="preserve"> </w:t>
      </w:r>
      <w:r>
        <w:rPr>
          <w:rFonts w:hint="eastAsia"/>
        </w:rPr>
        <w:t>如有人对经终审接受捐赠物资的人员、血站进行举报，基金会要及时查清原因，并做出认真、严肃处理，处理结果亦在网站上公布。</w:t>
      </w:r>
    </w:p>
    <w:p w:rsidR="0061590F" w:rsidRDefault="00E0230D">
      <w:pPr>
        <w:pStyle w:val="a5"/>
        <w:spacing w:before="0" w:beforeAutospacing="0" w:after="0" w:afterAutospacing="0" w:line="360" w:lineRule="auto"/>
      </w:pPr>
      <w:r>
        <w:rPr>
          <w:rFonts w:hint="eastAsia"/>
          <w:b/>
        </w:rPr>
        <w:lastRenderedPageBreak/>
        <w:t>第二十四条</w:t>
      </w:r>
      <w:r>
        <w:rPr>
          <w:rFonts w:hint="eastAsia"/>
        </w:rPr>
        <w:t xml:space="preserve"> </w:t>
      </w:r>
      <w:r>
        <w:rPr>
          <w:rFonts w:hint="eastAsia"/>
        </w:rPr>
        <w:t>在发放捐赠物资的过程中，如发现截留、挤占</w:t>
      </w:r>
      <w:r>
        <w:rPr>
          <w:rFonts w:hint="eastAsia"/>
        </w:rPr>
        <w:t>、挪用、拖延支付、扣抵捐赠物资，或弄虚作假、接受捐赠物资人员名不副实等问题时，基金会要立即会同有关方面严肃查处，并及时通过网上公布查处结果。</w:t>
      </w:r>
    </w:p>
    <w:p w:rsidR="0061590F" w:rsidRDefault="00E0230D">
      <w:pPr>
        <w:spacing w:line="360" w:lineRule="auto"/>
        <w:jc w:val="center"/>
        <w:rPr>
          <w:rFonts w:asciiTheme="minorHAnsi" w:eastAsiaTheme="minorEastAsia" w:hAnsiTheme="minorHAnsi" w:cstheme="minorBidi"/>
          <w:b/>
          <w:sz w:val="28"/>
          <w:szCs w:val="22"/>
        </w:rPr>
      </w:pPr>
      <w:r>
        <w:rPr>
          <w:rFonts w:asciiTheme="minorHAnsi" w:eastAsiaTheme="minorEastAsia" w:hAnsiTheme="minorHAnsi" w:cstheme="minorBidi" w:hint="eastAsia"/>
          <w:b/>
          <w:sz w:val="28"/>
          <w:szCs w:val="22"/>
        </w:rPr>
        <w:t>第六章</w:t>
      </w:r>
      <w:r>
        <w:rPr>
          <w:rFonts w:asciiTheme="minorHAnsi" w:eastAsiaTheme="minorEastAsia" w:hAnsiTheme="minorHAnsi" w:cstheme="minorBidi" w:hint="eastAsia"/>
          <w:b/>
          <w:sz w:val="28"/>
          <w:szCs w:val="22"/>
        </w:rPr>
        <w:t xml:space="preserve">  </w:t>
      </w:r>
      <w:r>
        <w:rPr>
          <w:rFonts w:asciiTheme="minorHAnsi" w:eastAsiaTheme="minorEastAsia" w:hAnsiTheme="minorHAnsi" w:cstheme="minorBidi" w:hint="eastAsia"/>
          <w:b/>
          <w:sz w:val="28"/>
          <w:szCs w:val="22"/>
        </w:rPr>
        <w:t>附</w:t>
      </w:r>
      <w:r>
        <w:rPr>
          <w:rFonts w:asciiTheme="minorHAnsi" w:eastAsiaTheme="minorEastAsia" w:hAnsiTheme="minorHAnsi" w:cstheme="minorBidi" w:hint="eastAsia"/>
          <w:b/>
          <w:sz w:val="28"/>
          <w:szCs w:val="22"/>
        </w:rPr>
        <w:t xml:space="preserve">  </w:t>
      </w:r>
      <w:r>
        <w:rPr>
          <w:rFonts w:asciiTheme="minorHAnsi" w:eastAsiaTheme="minorEastAsia" w:hAnsiTheme="minorHAnsi" w:cstheme="minorBidi" w:hint="eastAsia"/>
          <w:b/>
          <w:sz w:val="28"/>
          <w:szCs w:val="22"/>
        </w:rPr>
        <w:t>则</w:t>
      </w:r>
    </w:p>
    <w:p w:rsidR="0061590F" w:rsidRDefault="00E0230D">
      <w:pPr>
        <w:spacing w:line="360" w:lineRule="auto"/>
        <w:rPr>
          <w:rFonts w:ascii="宋体" w:hAnsi="宋体"/>
        </w:rPr>
      </w:pPr>
      <w:r>
        <w:rPr>
          <w:rFonts w:ascii="宋体" w:hAnsi="宋体" w:hint="eastAsia"/>
          <w:b/>
        </w:rPr>
        <w:t>第二十条</w:t>
      </w:r>
      <w:r>
        <w:rPr>
          <w:rFonts w:ascii="宋体" w:hAnsi="宋体"/>
        </w:rPr>
        <w:t xml:space="preserve"> </w:t>
      </w:r>
      <w:r>
        <w:rPr>
          <w:rFonts w:ascii="宋体" w:hAnsi="宋体" w:hint="eastAsia"/>
        </w:rPr>
        <w:t>本制度的解释权归深圳市血之缘公益基金会。</w:t>
      </w:r>
    </w:p>
    <w:p w:rsidR="0061590F" w:rsidRDefault="00E0230D">
      <w:pPr>
        <w:spacing w:line="360" w:lineRule="auto"/>
        <w:rPr>
          <w:rFonts w:ascii="宋体" w:hAnsi="宋体"/>
        </w:rPr>
      </w:pPr>
      <w:r>
        <w:rPr>
          <w:rFonts w:ascii="宋体" w:hAnsi="宋体"/>
          <w:b/>
        </w:rPr>
        <w:t>第二一条</w:t>
      </w:r>
      <w:r>
        <w:rPr>
          <w:rFonts w:ascii="宋体" w:hAnsi="宋体" w:hint="eastAsia"/>
        </w:rPr>
        <w:t xml:space="preserve"> </w:t>
      </w:r>
      <w:r>
        <w:rPr>
          <w:rFonts w:ascii="宋体" w:hAnsi="宋体" w:hint="eastAsia"/>
        </w:rPr>
        <w:t>本制度于</w:t>
      </w:r>
      <w:r>
        <w:rPr>
          <w:rFonts w:ascii="宋体" w:hAnsi="宋体" w:hint="eastAsia"/>
        </w:rPr>
        <w:t>2018</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26</w:t>
      </w:r>
      <w:r>
        <w:rPr>
          <w:rFonts w:ascii="宋体" w:hAnsi="宋体" w:hint="eastAsia"/>
        </w:rPr>
        <w:t>日经第一届理事会第五次会议表决通过</w:t>
      </w:r>
      <w:r w:rsidR="00C037D9">
        <w:rPr>
          <w:rFonts w:ascii="宋体" w:hAnsi="宋体" w:hint="eastAsia"/>
        </w:rPr>
        <w:t>修订</w:t>
      </w:r>
      <w:bookmarkStart w:id="0" w:name="_GoBack"/>
      <w:bookmarkEnd w:id="0"/>
      <w:r>
        <w:rPr>
          <w:rFonts w:ascii="宋体" w:hAnsi="宋体" w:hint="eastAsia"/>
        </w:rPr>
        <w:t>，自通过时生效。</w:t>
      </w:r>
    </w:p>
    <w:p w:rsidR="0061590F" w:rsidRDefault="0061590F">
      <w:pPr>
        <w:pStyle w:val="a5"/>
        <w:spacing w:before="0" w:beforeAutospacing="0" w:after="0" w:afterAutospacing="0" w:line="360" w:lineRule="auto"/>
      </w:pPr>
    </w:p>
    <w:sectPr w:rsidR="0061590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0D" w:rsidRDefault="00E0230D">
      <w:r>
        <w:separator/>
      </w:r>
    </w:p>
  </w:endnote>
  <w:endnote w:type="continuationSeparator" w:id="0">
    <w:p w:rsidR="00E0230D" w:rsidRDefault="00E0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0D" w:rsidRDefault="00E0230D">
      <w:r>
        <w:separator/>
      </w:r>
    </w:p>
  </w:footnote>
  <w:footnote w:type="continuationSeparator" w:id="0">
    <w:p w:rsidR="00E0230D" w:rsidRDefault="00E0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90F" w:rsidRDefault="00E0230D">
    <w:pPr>
      <w:pStyle w:val="a4"/>
      <w:jc w:val="left"/>
    </w:pPr>
    <w:r>
      <w:rPr>
        <w:noProof/>
      </w:rPr>
      <w:drawing>
        <wp:inline distT="0" distB="0" distL="0" distR="0">
          <wp:extent cx="2200275" cy="504825"/>
          <wp:effectExtent l="0" t="0" r="0" b="0"/>
          <wp:docPr id="1" name="图片 1" descr="Z:\血之缘\血之缘公用\常用文档\公司LOGO\基金会\血之缘公益基金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血之缘\血之缘公用\常用文档\公司LOGO\基金会\血之缘公益基金会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36334" cy="5362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60191"/>
    <w:multiLevelType w:val="multilevel"/>
    <w:tmpl w:val="25060191"/>
    <w:lvl w:ilvl="0">
      <w:start w:val="1"/>
      <w:numFmt w:val="decimal"/>
      <w:lvlText w:val="%1."/>
      <w:lvlJc w:val="left"/>
      <w:pPr>
        <w:ind w:left="900" w:hanging="420"/>
      </w:pPr>
    </w:lvl>
    <w:lvl w:ilvl="1">
      <w:start w:val="1"/>
      <w:numFmt w:val="decimal"/>
      <w:lvlText w:val="%2."/>
      <w:lvlJc w:val="left"/>
      <w:pPr>
        <w:ind w:left="703"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5B97522"/>
    <w:multiLevelType w:val="multilevel"/>
    <w:tmpl w:val="25B97522"/>
    <w:lvl w:ilvl="0">
      <w:start w:val="1"/>
      <w:numFmt w:val="decimal"/>
      <w:lvlText w:val="%1."/>
      <w:lvlJc w:val="left"/>
      <w:pPr>
        <w:ind w:left="720" w:hanging="420"/>
      </w:p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2">
    <w:nsid w:val="2BE3661C"/>
    <w:multiLevelType w:val="multilevel"/>
    <w:tmpl w:val="2BE3661C"/>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2C172812"/>
    <w:multiLevelType w:val="multilevel"/>
    <w:tmpl w:val="2C172812"/>
    <w:lvl w:ilvl="0">
      <w:start w:val="1"/>
      <w:numFmt w:val="decimal"/>
      <w:lvlText w:val="%1."/>
      <w:lvlJc w:val="left"/>
      <w:pPr>
        <w:ind w:left="720" w:hanging="420"/>
      </w:p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4">
    <w:nsid w:val="57A403A3"/>
    <w:multiLevelType w:val="multilevel"/>
    <w:tmpl w:val="57A403A3"/>
    <w:lvl w:ilvl="0">
      <w:start w:val="1"/>
      <w:numFmt w:val="decimal"/>
      <w:lvlText w:val="%1."/>
      <w:lvlJc w:val="left"/>
      <w:pPr>
        <w:ind w:left="720" w:hanging="420"/>
      </w:p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10"/>
    <w:rsid w:val="00092F7B"/>
    <w:rsid w:val="000F42BF"/>
    <w:rsid w:val="0010141A"/>
    <w:rsid w:val="0012149A"/>
    <w:rsid w:val="00141DA6"/>
    <w:rsid w:val="001470CD"/>
    <w:rsid w:val="00153EFB"/>
    <w:rsid w:val="00164C81"/>
    <w:rsid w:val="001C6CCD"/>
    <w:rsid w:val="001D7AEE"/>
    <w:rsid w:val="001F5DC4"/>
    <w:rsid w:val="0020735D"/>
    <w:rsid w:val="00222874"/>
    <w:rsid w:val="00230FF1"/>
    <w:rsid w:val="00245338"/>
    <w:rsid w:val="00282BA0"/>
    <w:rsid w:val="002B7B56"/>
    <w:rsid w:val="002F3D4F"/>
    <w:rsid w:val="002F77D2"/>
    <w:rsid w:val="00357F02"/>
    <w:rsid w:val="00374B67"/>
    <w:rsid w:val="0038304E"/>
    <w:rsid w:val="00391418"/>
    <w:rsid w:val="003A3062"/>
    <w:rsid w:val="003E7585"/>
    <w:rsid w:val="003F39A8"/>
    <w:rsid w:val="003F431B"/>
    <w:rsid w:val="00420614"/>
    <w:rsid w:val="00420B0C"/>
    <w:rsid w:val="00463534"/>
    <w:rsid w:val="004674DE"/>
    <w:rsid w:val="00495647"/>
    <w:rsid w:val="004D2C4F"/>
    <w:rsid w:val="00502B76"/>
    <w:rsid w:val="00561356"/>
    <w:rsid w:val="005E5C10"/>
    <w:rsid w:val="0061590F"/>
    <w:rsid w:val="0063032D"/>
    <w:rsid w:val="006A0A03"/>
    <w:rsid w:val="007459A6"/>
    <w:rsid w:val="00746131"/>
    <w:rsid w:val="00761E76"/>
    <w:rsid w:val="0078550E"/>
    <w:rsid w:val="007A1BA9"/>
    <w:rsid w:val="007C5F21"/>
    <w:rsid w:val="00801EBC"/>
    <w:rsid w:val="0083616E"/>
    <w:rsid w:val="008409A8"/>
    <w:rsid w:val="00847FAB"/>
    <w:rsid w:val="0089018D"/>
    <w:rsid w:val="008C1D0E"/>
    <w:rsid w:val="00924C54"/>
    <w:rsid w:val="00967B3D"/>
    <w:rsid w:val="009905A1"/>
    <w:rsid w:val="009A64D6"/>
    <w:rsid w:val="009C01BE"/>
    <w:rsid w:val="009D5F17"/>
    <w:rsid w:val="009E1373"/>
    <w:rsid w:val="00A17472"/>
    <w:rsid w:val="00A43C7C"/>
    <w:rsid w:val="00A83324"/>
    <w:rsid w:val="00AC16E9"/>
    <w:rsid w:val="00AE6BA0"/>
    <w:rsid w:val="00B04D4A"/>
    <w:rsid w:val="00B572C7"/>
    <w:rsid w:val="00B83500"/>
    <w:rsid w:val="00BB0F5C"/>
    <w:rsid w:val="00BE2197"/>
    <w:rsid w:val="00BE526E"/>
    <w:rsid w:val="00C037D9"/>
    <w:rsid w:val="00C124A6"/>
    <w:rsid w:val="00C5358D"/>
    <w:rsid w:val="00C91227"/>
    <w:rsid w:val="00CA6D0D"/>
    <w:rsid w:val="00CB5BA5"/>
    <w:rsid w:val="00CC13F3"/>
    <w:rsid w:val="00CD4204"/>
    <w:rsid w:val="00CD5DDA"/>
    <w:rsid w:val="00D129EE"/>
    <w:rsid w:val="00D25711"/>
    <w:rsid w:val="00D3528D"/>
    <w:rsid w:val="00D9520F"/>
    <w:rsid w:val="00DB1E7A"/>
    <w:rsid w:val="00E0230D"/>
    <w:rsid w:val="00E1344D"/>
    <w:rsid w:val="00E42CE4"/>
    <w:rsid w:val="00E70310"/>
    <w:rsid w:val="00E922D9"/>
    <w:rsid w:val="00E933F2"/>
    <w:rsid w:val="00EA47E5"/>
    <w:rsid w:val="00EE2AB0"/>
    <w:rsid w:val="29420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42AB0-6EBC-4331-81AD-509F0C60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4"/>
      <w:szCs w:val="24"/>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rPr>
  </w:style>
  <w:style w:type="character" w:styleId="a6">
    <w:name w:val="FollowedHyperlink"/>
    <w:basedOn w:val="a0"/>
    <w:uiPriority w:val="99"/>
    <w:semiHidden/>
    <w:unhideWhenUsed/>
    <w:rPr>
      <w:color w:val="954F72" w:themeColor="followedHyperlink"/>
      <w:u w:val="single"/>
    </w:rPr>
  </w:style>
  <w:style w:type="character" w:styleId="a7">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38468;&#20214;3%20%20&#25424;&#36192;&#21327;&#35758;&#2007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358</Words>
  <Characters>2044</Characters>
  <Application>Microsoft Office Word</Application>
  <DocSecurity>0</DocSecurity>
  <Lines>17</Lines>
  <Paragraphs>4</Paragraphs>
  <ScaleCrop>false</ScaleCrop>
  <Company>Lenovo</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leigf</dc:creator>
  <cp:lastModifiedBy>XZY</cp:lastModifiedBy>
  <cp:revision>71</cp:revision>
  <dcterms:created xsi:type="dcterms:W3CDTF">2017-09-20T02:41:00Z</dcterms:created>
  <dcterms:modified xsi:type="dcterms:W3CDTF">2021-11-15T09:08:00Z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850B2B9FB912447A9610701FB5636C5C</vt:lpwstr>
  </property>
</Properties>
</file>